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25" w:rsidRDefault="002A1799" w:rsidP="00362E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362E38" w:rsidRPr="00310725">
        <w:rPr>
          <w:rFonts w:ascii="Arial" w:hAnsi="Arial" w:cs="Arial"/>
          <w:b/>
          <w:bCs/>
          <w:sz w:val="28"/>
          <w:szCs w:val="28"/>
        </w:rPr>
        <w:t>. Forschungsförderung</w:t>
      </w:r>
    </w:p>
    <w:p w:rsidR="00C8097F" w:rsidRPr="00F6281E" w:rsidRDefault="00362E38" w:rsidP="00362E3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0725">
        <w:rPr>
          <w:rFonts w:ascii="Arial" w:hAnsi="Arial" w:cs="Arial"/>
        </w:rPr>
        <w:br/>
      </w:r>
      <w:r w:rsidRPr="00F6281E">
        <w:rPr>
          <w:rFonts w:ascii="Arial" w:hAnsi="Arial" w:cs="Arial"/>
          <w:b/>
        </w:rPr>
        <w:t xml:space="preserve">Trainerin: Dr. Beate Scholz – </w:t>
      </w:r>
      <w:r w:rsidR="00F6281E">
        <w:rPr>
          <w:rFonts w:ascii="Arial" w:hAnsi="Arial" w:cs="Arial"/>
          <w:b/>
        </w:rPr>
        <w:t>Scholz CTC GmbH</w:t>
      </w:r>
    </w:p>
    <w:p w:rsidR="00C8097F" w:rsidRDefault="002A1799" w:rsidP="00362E3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1384E">
        <w:rPr>
          <w:rFonts w:ascii="Arial" w:hAnsi="Arial" w:cs="Arial"/>
          <w:b/>
        </w:rPr>
        <w:t>i</w:t>
      </w:r>
      <w:r w:rsidR="0060095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03.09.2024</w:t>
      </w:r>
      <w:r w:rsidR="00C8097F">
        <w:rPr>
          <w:rFonts w:ascii="Arial" w:hAnsi="Arial" w:cs="Arial"/>
          <w:b/>
        </w:rPr>
        <w:t xml:space="preserve">, 14 – 18 Uhr und </w:t>
      </w:r>
      <w:r>
        <w:rPr>
          <w:rFonts w:ascii="Arial" w:hAnsi="Arial" w:cs="Arial"/>
          <w:b/>
        </w:rPr>
        <w:t>Mi</w:t>
      </w:r>
      <w:r w:rsidR="00C809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04.09.2024</w:t>
      </w:r>
      <w:r w:rsidR="00D92A6F">
        <w:rPr>
          <w:rFonts w:ascii="Arial" w:hAnsi="Arial" w:cs="Arial"/>
          <w:b/>
        </w:rPr>
        <w:t>, 9</w:t>
      </w:r>
      <w:r>
        <w:rPr>
          <w:rFonts w:ascii="Arial" w:hAnsi="Arial" w:cs="Arial"/>
          <w:b/>
        </w:rPr>
        <w:t>:30 – 16:30</w:t>
      </w:r>
      <w:r w:rsidR="00C8097F">
        <w:rPr>
          <w:rFonts w:ascii="Arial" w:hAnsi="Arial" w:cs="Arial"/>
          <w:b/>
        </w:rPr>
        <w:t xml:space="preserve"> Uhr</w:t>
      </w:r>
    </w:p>
    <w:p w:rsidR="00F6281E" w:rsidRDefault="00362E38" w:rsidP="00362E38">
      <w:pPr>
        <w:autoSpaceDE w:val="0"/>
        <w:autoSpaceDN w:val="0"/>
        <w:adjustRightInd w:val="0"/>
        <w:rPr>
          <w:rFonts w:ascii="Arial" w:hAnsi="Arial" w:cs="Arial"/>
        </w:rPr>
      </w:pPr>
      <w:r w:rsidRPr="00C8097F">
        <w:rPr>
          <w:rFonts w:ascii="Arial" w:hAnsi="Arial" w:cs="Arial"/>
          <w:b/>
        </w:rPr>
        <w:t xml:space="preserve">Ort: </w:t>
      </w:r>
      <w:r w:rsidR="00D92A6F" w:rsidRPr="00D92A6F">
        <w:rPr>
          <w:rFonts w:ascii="Arial" w:hAnsi="Arial" w:cs="Arial"/>
          <w:bCs/>
        </w:rPr>
        <w:t>Tagungszentrum Sternwarte, Geismar Landstr. 11, SR 1</w:t>
      </w:r>
    </w:p>
    <w:p w:rsidR="00362E38" w:rsidRDefault="00362E38" w:rsidP="00362E38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310725">
        <w:rPr>
          <w:rFonts w:ascii="Arial" w:hAnsi="Arial" w:cs="Arial"/>
          <w:b/>
          <w:u w:val="single"/>
        </w:rPr>
        <w:br/>
      </w:r>
      <w:r w:rsidRPr="00930D4D">
        <w:rPr>
          <w:rFonts w:ascii="Arial" w:hAnsi="Arial" w:cs="Arial"/>
          <w:b/>
          <w:color w:val="FF0000"/>
        </w:rPr>
        <w:t xml:space="preserve">Anmeldung bis zum </w:t>
      </w:r>
      <w:r w:rsidR="002A1799">
        <w:rPr>
          <w:rFonts w:ascii="Arial" w:hAnsi="Arial" w:cs="Arial"/>
          <w:b/>
          <w:color w:val="FF0000"/>
        </w:rPr>
        <w:t>09.07.2024</w:t>
      </w:r>
      <w:bookmarkStart w:id="0" w:name="_GoBack"/>
      <w:bookmarkEnd w:id="0"/>
      <w:r w:rsidR="00C8097F">
        <w:rPr>
          <w:rFonts w:ascii="Arial" w:hAnsi="Arial" w:cs="Arial"/>
          <w:b/>
          <w:color w:val="FF0000"/>
        </w:rPr>
        <w:t xml:space="preserve">, </w:t>
      </w:r>
      <w:r w:rsidR="00AC044D">
        <w:rPr>
          <w:rFonts w:ascii="Arial" w:hAnsi="Arial" w:cs="Arial"/>
          <w:b/>
          <w:color w:val="FF0000"/>
        </w:rPr>
        <w:t xml:space="preserve">max. </w:t>
      </w:r>
      <w:r w:rsidR="00C8097F">
        <w:rPr>
          <w:rFonts w:ascii="Arial" w:hAnsi="Arial" w:cs="Arial"/>
          <w:b/>
          <w:color w:val="FF0000"/>
        </w:rPr>
        <w:t>10</w:t>
      </w:r>
      <w:r w:rsidRPr="00930D4D">
        <w:rPr>
          <w:rFonts w:ascii="Arial" w:hAnsi="Arial" w:cs="Arial"/>
          <w:b/>
          <w:color w:val="FF0000"/>
        </w:rPr>
        <w:t xml:space="preserve"> TN</w:t>
      </w:r>
    </w:p>
    <w:p w:rsidR="00C8097F" w:rsidRDefault="00C8097F" w:rsidP="00F6281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6281E">
        <w:rPr>
          <w:rFonts w:ascii="Arial" w:hAnsi="Arial" w:cs="Arial"/>
        </w:rPr>
        <w:t>Diese Veranstaltung ist für UMG</w:t>
      </w:r>
      <w:r w:rsidR="003F79D9" w:rsidRPr="00F6281E">
        <w:rPr>
          <w:rFonts w:ascii="Arial" w:hAnsi="Arial" w:cs="Arial"/>
        </w:rPr>
        <w:t xml:space="preserve">-Mitarbeiterinnen </w:t>
      </w:r>
      <w:r w:rsidRPr="00F6281E">
        <w:rPr>
          <w:rFonts w:ascii="Arial" w:hAnsi="Arial" w:cs="Arial"/>
        </w:rPr>
        <w:t>Arbeitszeit.</w:t>
      </w:r>
    </w:p>
    <w:p w:rsidR="00F6281E" w:rsidRPr="00F6281E" w:rsidRDefault="00F6281E" w:rsidP="00F6281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2126E" w:rsidRDefault="0012126E"/>
    <w:p w:rsidR="00C37182" w:rsidRDefault="00C37182"/>
    <w:p w:rsidR="00C37182" w:rsidRDefault="00C37182"/>
    <w:p w:rsidR="00F9181B" w:rsidRPr="00F9181B" w:rsidRDefault="00F9181B" w:rsidP="00F9181B">
      <w:pPr>
        <w:autoSpaceDE w:val="0"/>
        <w:autoSpaceDN w:val="0"/>
        <w:adjustRightInd w:val="0"/>
        <w:jc w:val="center"/>
        <w:rPr>
          <w:rFonts w:ascii="Arial" w:hAnsi="Arial" w:cs="Arial-BoldMT"/>
          <w:b/>
        </w:rPr>
      </w:pPr>
      <w:r w:rsidRPr="00F9181B">
        <w:rPr>
          <w:rFonts w:ascii="Arial" w:hAnsi="Arial" w:cs="Arial-BoldMT"/>
          <w:b/>
        </w:rPr>
        <w:t>Forschungsförderung &amp; Karriereentwicklung in der Wissenschaft für die</w:t>
      </w:r>
    </w:p>
    <w:p w:rsidR="00F9181B" w:rsidRPr="00F9181B" w:rsidRDefault="00F9181B" w:rsidP="00F9181B">
      <w:pPr>
        <w:autoSpaceDE w:val="0"/>
        <w:autoSpaceDN w:val="0"/>
        <w:adjustRightInd w:val="0"/>
        <w:jc w:val="center"/>
        <w:rPr>
          <w:rFonts w:ascii="Arial" w:hAnsi="Arial" w:cs="Arial-BoldMT"/>
          <w:b/>
        </w:rPr>
      </w:pPr>
      <w:r w:rsidRPr="00F9181B">
        <w:rPr>
          <w:rFonts w:ascii="Arial" w:hAnsi="Arial" w:cs="Arial-BoldMT"/>
          <w:b/>
        </w:rPr>
        <w:t>Teilnehmerin</w:t>
      </w:r>
      <w:r w:rsidR="00993EE4">
        <w:rPr>
          <w:rFonts w:ascii="Arial" w:hAnsi="Arial" w:cs="Arial-BoldMT"/>
          <w:b/>
        </w:rPr>
        <w:t>nen des UMG Mentoring-Programms</w:t>
      </w:r>
    </w:p>
    <w:p w:rsidR="00F9181B" w:rsidRPr="00F9181B" w:rsidRDefault="00F9181B" w:rsidP="00F9181B">
      <w:pPr>
        <w:autoSpaceDE w:val="0"/>
        <w:autoSpaceDN w:val="0"/>
        <w:adjustRightInd w:val="0"/>
        <w:rPr>
          <w:rFonts w:ascii="Arial" w:hAnsi="Arial" w:cs="ArialMT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Zielsetzung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Im deutschen und europäischen Wissenschaftssystem gewinnen eingeworbene Drittmittel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eine immer größere Bedeutung sowohl für wissenschaftliche Einrichtungen und deren Fortbestand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als auch für die individuelle Karriereentwicklung. Oft erfolgt solche Drittmittel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einwerbung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allerdings ohne systematische strategische Planung und ohne die Potentiale und Ziele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der beteiligten Forschenden in den Blick zu nehmen.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Dieser Kompakt-Workshop wählt daher einen grundlegenden anderen Ansatz, indem er die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bisherigen Erfahrungen und jeweiligen Pläne der Teilnehmenden in den Mittelpunkt stellt. Er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verfolgt insofern das Ziel, den Teilnehmenden Strategien zur Entwicklung einer wissen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schaftlichen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Karriere und zur Einwerbung von Fördermitteln vor dem Hintergrund ihrer individuellen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Pläne und inhaltlichen Interessen zu eröffnen.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93EE4">
        <w:rPr>
          <w:rFonts w:ascii="Arial" w:hAnsi="Arial" w:cs="Arial"/>
          <w:color w:val="000000"/>
          <w:sz w:val="22"/>
          <w:szCs w:val="22"/>
          <w:u w:val="single"/>
        </w:rPr>
        <w:t>Module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1. Individuelle Standortbestimmung &amp; Prospektion: Analyse von Status Quo &amp; Zielen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2. Grundlagen des deutschen und europäischen Wissenschaftssystems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3. </w:t>
      </w:r>
      <w:r w:rsidRPr="00993EE4">
        <w:rPr>
          <w:rFonts w:ascii="Arial" w:hAnsi="Arial" w:cs="Arial"/>
          <w:color w:val="000000"/>
          <w:sz w:val="22"/>
          <w:szCs w:val="22"/>
        </w:rPr>
        <w:t>Weiterentwicklung der wissenschaftlichen Karriere: Typologie der Forschungsförderung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(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Die Auswahl der jeweils geeigneten Programme erfolgt zielgruppenspezifisch, </w:t>
      </w:r>
      <w:r w:rsidRPr="00993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auf der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Grundlage von Unterlagen der Teilnehmenden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, deren gesammelte Bereitstellung </w:t>
      </w:r>
      <w:r w:rsidRPr="00993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bis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14 Tage vor Veranstaltungsbeginn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>erforderlich ist. Die vertrauliche Behandlung der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>Unterlagen gemäß geltender Datenschutz-Bestimmungen (DSGVO) ist gewährleistet.)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4. Umgang mit Programmprosa, Projektplanung und Perspektivenwechsel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5. Forschungsfinanzierung - Do’s und Dont’s der Antragstellung &amp;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993EE4">
        <w:rPr>
          <w:rFonts w:ascii="Arial" w:hAnsi="Arial" w:cs="Arial"/>
          <w:color w:val="000000"/>
          <w:sz w:val="22"/>
          <w:szCs w:val="22"/>
        </w:rPr>
        <w:t>egutachtungs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perspektiven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6. Durchführung einer Begutachtungssimulation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93EE4">
        <w:rPr>
          <w:rFonts w:ascii="Arial" w:hAnsi="Arial" w:cs="Arial"/>
          <w:color w:val="000000"/>
          <w:sz w:val="22"/>
          <w:szCs w:val="22"/>
          <w:u w:val="single"/>
        </w:rPr>
        <w:t>Methoden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Vorträge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Einzel- &amp; Gruppenarbeit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Ergebnispräsentationen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Perspektivenwechsel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93EE4">
        <w:rPr>
          <w:rFonts w:ascii="Arial" w:hAnsi="Arial" w:cs="Arial"/>
          <w:color w:val="000000"/>
          <w:sz w:val="22"/>
          <w:szCs w:val="22"/>
          <w:u w:val="single"/>
        </w:rPr>
        <w:lastRenderedPageBreak/>
        <w:t>Zielgruppe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Der Workshop ist auf </w:t>
      </w:r>
      <w:r w:rsidRPr="00993EE4">
        <w:rPr>
          <w:rFonts w:ascii="Arial" w:hAnsi="Arial" w:cs="Arial"/>
          <w:b/>
          <w:bCs/>
          <w:color w:val="000000"/>
          <w:sz w:val="22"/>
          <w:szCs w:val="22"/>
        </w:rPr>
        <w:t xml:space="preserve">max. 10 Personen </w:t>
      </w:r>
      <w:r w:rsidRPr="00993EE4">
        <w:rPr>
          <w:rFonts w:ascii="Arial" w:hAnsi="Arial" w:cs="Arial"/>
          <w:color w:val="000000"/>
          <w:sz w:val="22"/>
          <w:szCs w:val="22"/>
        </w:rPr>
        <w:t>ausgelegt und richtet sich an fortgeschrittene Promovierende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und Postdocs. Die Veranstaltung findet auf Deutsch statt.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93EE4">
        <w:rPr>
          <w:rFonts w:ascii="Arial" w:hAnsi="Arial" w:cs="Arial"/>
          <w:color w:val="000000"/>
          <w:sz w:val="22"/>
          <w:szCs w:val="22"/>
          <w:u w:val="single"/>
        </w:rPr>
        <w:t>Urheberrechtliche Bestimmung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Die Workshop- und Coaching-Inhalte und -Methoden von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Scholz CTC GmbH </w:t>
      </w:r>
      <w:r w:rsidRPr="00993EE4">
        <w:rPr>
          <w:rFonts w:ascii="Arial" w:hAnsi="Arial" w:cs="Arial"/>
          <w:color w:val="000000"/>
          <w:sz w:val="22"/>
          <w:szCs w:val="22"/>
        </w:rPr>
        <w:t>sind urheberrechtlich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geschützt. Eine Vervielfältigung oder Weitergabe von Workshop-Dokumenten setzt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daher die ausdrückliche schriftliche Zustimmung der Unternehmens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leitung, vertreten durch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Frau Dr. Beate Scholz, voraus. Eine Veröffentlichung von Workshop-Materialien darf nicht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erfolgen.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93EE4">
        <w:rPr>
          <w:rFonts w:ascii="Arial" w:hAnsi="Arial" w:cs="Arial"/>
          <w:color w:val="000000"/>
          <w:sz w:val="22"/>
          <w:szCs w:val="22"/>
          <w:u w:val="single"/>
        </w:rPr>
        <w:t>Zur Person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Dr. Beate Scholz ist geschäftsführende Gesellschafterin der Scholz CTC GmbH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(</w:t>
      </w:r>
      <w:r w:rsidRPr="00993EE4">
        <w:rPr>
          <w:rFonts w:ascii="Arial" w:hAnsi="Arial" w:cs="Arial"/>
          <w:color w:val="0000FF"/>
          <w:sz w:val="22"/>
          <w:szCs w:val="22"/>
        </w:rPr>
        <w:t xml:space="preserve">www.scholz-ctc.com </w:t>
      </w:r>
      <w:r w:rsidRPr="00993EE4">
        <w:rPr>
          <w:rFonts w:ascii="Arial" w:hAnsi="Arial" w:cs="Arial"/>
          <w:color w:val="000000"/>
          <w:sz w:val="22"/>
          <w:szCs w:val="22"/>
        </w:rPr>
        <w:t>) einem Unternehmen mit 6 Mitarbeitenden. Sie arbeitet international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als Strategieberaterin, Trainerin, Coach, Expertin und Gutachterin in Hochschulen, Forschungseinrichtungen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und Wissenschaftsorganisationen. Zudem ist sie wissenschaftlich tätig.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Ihre </w:t>
      </w:r>
      <w:r w:rsidRPr="00111F80">
        <w:rPr>
          <w:rFonts w:ascii="Arial" w:hAnsi="Arial" w:cs="Arial"/>
          <w:color w:val="000000"/>
          <w:sz w:val="22"/>
          <w:szCs w:val="22"/>
          <w:u w:val="single"/>
        </w:rPr>
        <w:t>Beratungsaufgaben</w:t>
      </w:r>
      <w:r w:rsidRPr="00993EE4">
        <w:rPr>
          <w:rFonts w:ascii="Arial" w:hAnsi="Arial" w:cs="Arial"/>
          <w:color w:val="000000"/>
          <w:sz w:val="22"/>
          <w:szCs w:val="22"/>
        </w:rPr>
        <w:t xml:space="preserve"> beziehen sich in erster Linie auf die Entwicklung, Umsetzung und</w:t>
      </w:r>
    </w:p>
    <w:p w:rsidR="00993EE4" w:rsidRPr="00111F80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Bewertung von Konzepten und Strategien zur chancen-gerechten Förderung wissen</w:t>
      </w:r>
      <w:r w:rsidR="00111F80"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schaftlicher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Karrieren sowie auf die internationale Forschungszusammenarbeit und -förderung. Sie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arbeitet für internationale Einrichtungen wie die EU-Kommission oder die OECD ebenso für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zahlreiche Universitäten, Forschungseinrichtungen und Ministerien, international (u.a. in Europa,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den USA, Japan, Saudi Arabien und Malaysia) und in Deutschland. So beriet sie im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Jahr 2015 den Europäischen Ministerrat unter Luxem</w:t>
      </w:r>
      <w:r w:rsidR="00111F80"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burgischer Ratspräsidentschaft zu den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1F80">
        <w:rPr>
          <w:rFonts w:ascii="Arial" w:hAnsi="Arial" w:cs="Arial"/>
          <w:color w:val="000000"/>
          <w:sz w:val="22"/>
          <w:szCs w:val="22"/>
        </w:rPr>
        <w:t>Themen ‚Gender equality’ und ‚Researchers’ Career Development.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11F80">
        <w:rPr>
          <w:rFonts w:ascii="Arial" w:hAnsi="Arial" w:cs="Arial"/>
          <w:color w:val="000000"/>
          <w:sz w:val="22"/>
          <w:szCs w:val="22"/>
          <w:u w:val="single"/>
        </w:rPr>
        <w:t>Trainings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zu Themenschwerpunkten, wie </w:t>
      </w:r>
      <w:r w:rsidRPr="00993EE4">
        <w:rPr>
          <w:rFonts w:ascii="Arial" w:hAnsi="Arial" w:cs="Arial"/>
          <w:color w:val="000000"/>
          <w:sz w:val="22"/>
          <w:szCs w:val="22"/>
        </w:rPr>
        <w:t>Karriere- und Profilentwicklung in der Wissenschaft’,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‚Strategische Nutzung von Forschungsförderung’ oder ‚Qualifizierung und Betreuung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von Promovierenden’ hat Beate Scholz mittlerweile an mehr als 100 Standorten im In- und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 xml:space="preserve">Ausland durchgeführt. Bei ihren </w:t>
      </w:r>
      <w:r w:rsidRPr="00111F80">
        <w:rPr>
          <w:rFonts w:ascii="Arial" w:hAnsi="Arial" w:cs="Arial"/>
          <w:color w:val="000000"/>
          <w:sz w:val="22"/>
          <w:szCs w:val="22"/>
          <w:u w:val="single"/>
        </w:rPr>
        <w:t>Coachings</w:t>
      </w:r>
      <w:r w:rsidRPr="00993EE4">
        <w:rPr>
          <w:rFonts w:ascii="Arial" w:hAnsi="Arial" w:cs="Arial"/>
          <w:color w:val="000000"/>
          <w:sz w:val="22"/>
          <w:szCs w:val="22"/>
        </w:rPr>
        <w:t xml:space="preserve"> stehen die individuelle Beratung von Wissenschaftlerinnen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und Wissenschaftlern insbesondere in Übergangsphasen der wissenschaftlichen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Karriere sowie die Begleitung von Teams vor allem bei der Vorbereitung von Anträgen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und Präsentationen für Begutachtungen - etwa im Rahmen von Exzellenz-Wettbewerben -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im Vordergrund.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18"/>
          <w:szCs w:val="18"/>
        </w:rPr>
      </w:pPr>
      <w:r w:rsidRPr="00993EE4">
        <w:rPr>
          <w:rFonts w:ascii="Arial" w:hAnsi="Arial" w:cs="Arial"/>
          <w:color w:val="000000"/>
          <w:sz w:val="22"/>
          <w:szCs w:val="22"/>
        </w:rPr>
        <w:t>Beate Scholz wird regelmäßig als Expertin in Gremien und als Gutachterin in Auswahl</w:t>
      </w:r>
      <w:r w:rsidR="00111F80"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kommissionen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eingeladen. Seit April 2012 ist sie Vorsitzende des International Advisory Board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der Graduiertenschule HITEC am Forschungszentrum Jülich. Sie war als Expertin für die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Präsidentenkommission Nachwuchsförderung der Max-Planck-Gesellschaft (2013 bis 2017)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tätig und ist Mitglied die Helmholtz-Kommission ‚Postdoc-Leitlinien’ (seit 2017). Seit 2002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wirkt sie regelmäßig in EU-Expertengruppen mit, z.B. 'ERA Communication' (2013)‚ 'Re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search Profession' (2012) oder 'Skills' (2011). Sie ist Gutachterin bzw. Evaluatorin für die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Alexander von Humboldt-Stiftung, die Helmholtz Gemeinschaft Deutscher Forschungs</w:t>
      </w:r>
      <w:r w:rsidR="00111F80"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zentren,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den Fonds National de la Recherche in Luxemburg sowie das irische ‚Graduate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Education Programme’. Von 2004 bis 2007 leitete sie das internationale Management</w:t>
      </w:r>
      <w:r w:rsidR="00111F80">
        <w:rPr>
          <w:rFonts w:ascii="Arial" w:hAnsi="Arial" w:cs="Arial"/>
          <w:color w:val="000000"/>
          <w:sz w:val="22"/>
          <w:szCs w:val="22"/>
        </w:rPr>
        <w:t>-</w:t>
      </w:r>
      <w:r w:rsidRPr="00993EE4">
        <w:rPr>
          <w:rFonts w:ascii="Arial" w:hAnsi="Arial" w:cs="Arial"/>
          <w:color w:val="000000"/>
          <w:sz w:val="22"/>
          <w:szCs w:val="22"/>
        </w:rPr>
        <w:t>komitee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des European Young Investigator Award, dem Vorgänger-Programm des ERC Starting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Grant.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Vor ihrer Firmengründung 2008 war Beate Scholz zwölf Jahre lang für die </w:t>
      </w:r>
      <w:r w:rsidRPr="00111F80">
        <w:rPr>
          <w:rFonts w:ascii="Arial" w:hAnsi="Arial" w:cs="Arial"/>
          <w:color w:val="000000"/>
          <w:sz w:val="22"/>
          <w:szCs w:val="22"/>
          <w:u w:val="single"/>
        </w:rPr>
        <w:t>Deutsche Forschungsgemeinschaft</w:t>
      </w:r>
      <w:r w:rsidR="00111F80" w:rsidRP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tätig. Dort begann sie als Referentin des Vorstandes und übernahm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 xml:space="preserve">2001 als Programmdirektorin den Aufbau und die Leitung des Bereichs </w:t>
      </w:r>
      <w:r w:rsidRPr="00111F80">
        <w:rPr>
          <w:rFonts w:ascii="Arial" w:hAnsi="Arial" w:cs="Arial"/>
          <w:color w:val="000000"/>
          <w:sz w:val="22"/>
          <w:szCs w:val="22"/>
          <w:u w:val="single"/>
        </w:rPr>
        <w:t>Nachwuchsförderung</w:t>
      </w:r>
      <w:r w:rsidRPr="00993EE4">
        <w:rPr>
          <w:rFonts w:ascii="Arial" w:hAnsi="Arial" w:cs="Arial"/>
          <w:color w:val="000000"/>
          <w:sz w:val="22"/>
          <w:szCs w:val="22"/>
        </w:rPr>
        <w:t>.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In dieser Funktion war sie für die Strategien und Programme der DFG zur Förderung wissenschaftlicher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Karrieren im nationalen und internationalen Kontext verantwortlich, z.B. die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 xml:space="preserve">Entwicklung der Graduiertenschulen der ersten deutschen Exzellenzinitiative oder der Heisenberg-Professur. Durch das Management von </w:t>
      </w:r>
      <w:r w:rsidRPr="00993EE4">
        <w:rPr>
          <w:rFonts w:ascii="Arial" w:hAnsi="Arial" w:cs="Arial"/>
          <w:color w:val="000000"/>
          <w:sz w:val="22"/>
          <w:szCs w:val="22"/>
        </w:rPr>
        <w:lastRenderedPageBreak/>
        <w:t>Graduiertenkollegs und des European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Young Investigator Award hat sie umfangreiche operative und Begutachtungserfahrung erworben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und mit dem 'European Network for Research Careers' eine internationale Strategie-Plattform für den Austausch und gemeinsame Initiativen von nationalen und internationalen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Wissenschaftsorganisationen ins Leben gerufen.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11F80">
        <w:rPr>
          <w:rFonts w:ascii="Arial" w:hAnsi="Arial" w:cs="Arial"/>
          <w:color w:val="000000"/>
          <w:sz w:val="22"/>
          <w:szCs w:val="22"/>
          <w:u w:val="single"/>
        </w:rPr>
        <w:t>Wissenschaftlich</w:t>
      </w:r>
      <w:r w:rsidRPr="00993EE4">
        <w:rPr>
          <w:rFonts w:ascii="Arial" w:hAnsi="Arial" w:cs="Arial"/>
          <w:color w:val="000000"/>
          <w:sz w:val="22"/>
          <w:szCs w:val="22"/>
        </w:rPr>
        <w:t xml:space="preserve"> arbeitet Beate Scholz vor allem zu den Themen ‚Intellectual Risk Taking’,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‚Career Tracking of Researchers’ sowie ‚Individualising peer review and merit assessment’.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Seit 2007 ist sie Mitglied des globalen Forschungsnetzwerks ‚Forces and Forms of Change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 xml:space="preserve">of Doctoral Education Worldwide’ (University of Washington, Seattle). </w:t>
      </w:r>
      <w:r w:rsidRPr="00993EE4">
        <w:rPr>
          <w:rFonts w:ascii="Arial" w:hAnsi="Arial" w:cs="Arial"/>
          <w:color w:val="000000"/>
          <w:sz w:val="22"/>
          <w:szCs w:val="22"/>
        </w:rPr>
        <w:t>Sie promovierte 1997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mit einer Arbeit über den ‚Italienischen Faschismus als ‚Export’-Artikel’, 1927-1935’ unter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Betreuung von Wolfgang Schieder (Köln) und Lutz Raphael (Trier). Zuvor studierte sie Geschichte,</w:t>
      </w:r>
      <w:r w:rsidR="00111F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Politikwissenschaft und Volkswirtschaftslehre in Trier und Reading/England mit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Magisterabschluss.</w:t>
      </w:r>
    </w:p>
    <w:p w:rsidR="00111F80" w:rsidRPr="00993EE4" w:rsidRDefault="00111F80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111F80">
        <w:rPr>
          <w:rFonts w:ascii="Arial" w:hAnsi="Arial" w:cs="Arial"/>
          <w:color w:val="000000"/>
          <w:sz w:val="22"/>
          <w:szCs w:val="22"/>
          <w:u w:val="single"/>
        </w:rPr>
        <w:t>Referenzinstitutionen:</w:t>
      </w:r>
    </w:p>
    <w:p w:rsidR="00111F80" w:rsidRPr="00111F80" w:rsidRDefault="00111F80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color w:val="000000"/>
          <w:sz w:val="22"/>
          <w:szCs w:val="22"/>
        </w:rPr>
        <w:t>Universitäten und Hochschulen (national)</w:t>
      </w:r>
    </w:p>
    <w:p w:rsidR="00993EE4" w:rsidRPr="00A823E8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Hochschulen für Angewandte Wissenschaften: </w:t>
      </w:r>
      <w:r w:rsidRPr="00993EE4">
        <w:rPr>
          <w:rFonts w:ascii="Arial" w:hAnsi="Arial" w:cs="Arial"/>
          <w:color w:val="000000"/>
          <w:sz w:val="22"/>
          <w:szCs w:val="22"/>
        </w:rPr>
        <w:t>Hochschule Emden/Leer, Frankfurt University</w:t>
      </w:r>
      <w:r w:rsidR="00A823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23E8">
        <w:rPr>
          <w:rFonts w:ascii="Arial" w:hAnsi="Arial" w:cs="Arial"/>
          <w:color w:val="000000"/>
          <w:sz w:val="22"/>
          <w:szCs w:val="22"/>
        </w:rPr>
        <w:t>of Applied Sciences, Fachhochschule Münster,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Medizin: </w:t>
      </w:r>
      <w:r w:rsidRPr="00993EE4">
        <w:rPr>
          <w:rFonts w:ascii="Arial" w:hAnsi="Arial" w:cs="Arial"/>
          <w:color w:val="000000"/>
          <w:sz w:val="22"/>
          <w:szCs w:val="22"/>
        </w:rPr>
        <w:t>Charité Universitätsmedizin Berlin, Medizinische Hochschule Hannover, Universitätsklinika</w:t>
      </w:r>
      <w:r w:rsidR="00A823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EE4">
        <w:rPr>
          <w:rFonts w:ascii="Arial" w:hAnsi="Arial" w:cs="Arial"/>
          <w:color w:val="000000"/>
          <w:sz w:val="22"/>
          <w:szCs w:val="22"/>
        </w:rPr>
        <w:t>Göttingen, Hamburg-Eppendorf und Marburg,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Sport: </w:t>
      </w:r>
      <w:r w:rsidRPr="00993EE4">
        <w:rPr>
          <w:rFonts w:ascii="Arial" w:hAnsi="Arial" w:cs="Arial"/>
          <w:color w:val="000000"/>
          <w:sz w:val="22"/>
          <w:szCs w:val="22"/>
        </w:rPr>
        <w:t>Deutsche Sporthochschule Köln,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Technische Universitäten: </w:t>
      </w:r>
      <w:r w:rsidRPr="00993EE4">
        <w:rPr>
          <w:rFonts w:ascii="Arial" w:hAnsi="Arial" w:cs="Arial"/>
          <w:color w:val="000000"/>
          <w:sz w:val="22"/>
          <w:szCs w:val="22"/>
        </w:rPr>
        <w:t>RWTH Aachen, TU Berlin, TU Braunschweig, TU Chemnitz,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TU Darmstadt, TU Dortmund, TU Dresden, TU Hamburg-Harburg, TU Kaiserslautern,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Karlsruher Institut für Technologie, TU München,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93EE4">
        <w:rPr>
          <w:rFonts w:ascii="Arial" w:hAnsi="Arial" w:cs="Arial"/>
          <w:i/>
          <w:iCs/>
          <w:color w:val="000000"/>
          <w:sz w:val="22"/>
          <w:szCs w:val="22"/>
        </w:rPr>
        <w:t xml:space="preserve">Universitäten: </w:t>
      </w:r>
      <w:r w:rsidRPr="00993EE4">
        <w:rPr>
          <w:rFonts w:ascii="Arial" w:hAnsi="Arial" w:cs="Arial"/>
          <w:color w:val="000000"/>
          <w:sz w:val="22"/>
          <w:szCs w:val="22"/>
        </w:rPr>
        <w:t>Augsburg, Bayreuth, FU Berlin, HU Berlin, Bremen, Bielefeld, Bochum,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Bonn, Düsseldorf, Duisburg-Essen, Erlangen, Frankfurt/Main, Freiburg, Zeppelin Universität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Friedrichshafen, Gießen, Göttingen, Greifswald, Halle-Wittenberg, Hamburg, Hannover,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Heidelberg, Hohenheim, Kassel, Kiel, Köln, Konstanz, Magdeburg, Mainz, Mannheim,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18"/>
          <w:szCs w:val="18"/>
        </w:rPr>
      </w:pPr>
      <w:r w:rsidRPr="00993EE4">
        <w:rPr>
          <w:rFonts w:ascii="Arial" w:hAnsi="Arial" w:cs="Arial"/>
          <w:color w:val="000000"/>
          <w:sz w:val="22"/>
          <w:szCs w:val="22"/>
        </w:rPr>
        <w:t>Marburg, LMU München, Universität der Bundeswehr München, Münster, Olden</w:t>
      </w:r>
      <w:r w:rsidRPr="00993EE4">
        <w:rPr>
          <w:rFonts w:ascii="Arial" w:hAnsi="Arial" w:cs="Arial"/>
          <w:i/>
          <w:iCs/>
          <w:color w:val="333333"/>
          <w:sz w:val="18"/>
          <w:szCs w:val="18"/>
        </w:rPr>
        <w:t>©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burg, Osnabrück, Regenburg, Rostock, Universität des Saarlandes, Siegen, Stuttgart,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Trier, Tübingen, Ulm, Würzburg</w:t>
      </w:r>
    </w:p>
    <w:p w:rsidR="00111F80" w:rsidRPr="00993EE4" w:rsidRDefault="00111F80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color w:val="000000"/>
          <w:sz w:val="22"/>
          <w:szCs w:val="22"/>
        </w:rPr>
        <w:t>Universitäten (international)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Center for Innovation and Research in Graduate Education, University of Washington,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Seattle, US,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Freie Universität Bozen, Italien,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Internationale Bodenseehochschule, Kreuzlingen, Schweiz,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King Abdullah University of Science and Technology, Dschidda, Saudi Arabien,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King Saud University, Riad, Saudi Arabien,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Universität Basel, Schweiz,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Université du Luxembourg, Esch sur Alzette, Luxembourg,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Universiti Sains Malaysia, Penang, Malaysia,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Wirtschaftsuniversität Wien, Österreich</w:t>
      </w:r>
    </w:p>
    <w:p w:rsidR="00111F80" w:rsidRPr="00993EE4" w:rsidRDefault="00111F80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color w:val="000000"/>
          <w:sz w:val="22"/>
          <w:szCs w:val="22"/>
        </w:rPr>
        <w:t>Außer-universitäre Forschungseinrichtungen (national und international)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Alfred Wegener Institut für Polar- und Meeresforschung, Bremerhaven,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Berlin Institute of Health, Berlin,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Deutsches Historisches Institut Warschau, Polen,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Deutsches Institut für Erwachsenenpädagogik Frankfurt,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Deutsches Institut für Japanstudien Tokio, Japan,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Hanse-Wissenschaftskolleg Delmenhorst,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Helmholtz Forschungszentrum Jülich,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Helmholtz Gemeinschaft Deutscher Forschungszentren Berlin,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Helmholtz-Zentrum für Infektionsforschung Braunschweig,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Hessische Stiftung Friedens- und Konfliktforschung Frankfurt,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- Institute for Molecular Medicine, Lissabon, Portugal,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Institut für Forschungsinformation und Qualitätssicherung Berlin,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Kunsthistorisches Institut Florenz, Italien,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Leibniz-Zentrum für Agrarlandschaftsforschung Müncheberg,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Leibniz-Institut für Ökologische Raumentwicklung Dresden,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LISER – Luxembourg Institute for Socio-Economic Research,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Max-Planck-Gesellschaft München,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Max-Planck-Institut für Biochemie Martinsried,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Max-Planck-Institut für Biophysik Frankfurt,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Max-Planck-Institut für Chemische Physik fester Stoffe Dresden,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Max-Planck-Institut für europäische Rechtsgeschichte Frankfurt,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Max-Delbrück-Centrum für Molekulare Medizin Berlin-Buch,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Tertiary Education and Research Institute, Prague, Tschechische Republik</w:t>
      </w:r>
    </w:p>
    <w:p w:rsidR="00111F80" w:rsidRPr="00993EE4" w:rsidRDefault="00111F80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color w:val="000000"/>
          <w:sz w:val="22"/>
          <w:szCs w:val="22"/>
        </w:rPr>
        <w:t>Forschungsförderer (national und international)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Alexander von Humboldt-Stiftung,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Deutsche Telekom-Stiftung, Bonn,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Flemish Research Council (FWO), Brüssel, Belgien,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Fonds der Chemischen Industrie, Frankfurt,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Fonds National de la Recherche, Luxembourg,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Heinrich-Böll-Stiftung, Berlin,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Irish Research Council, Dublin, Irland,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Robert Bosch Stiftung, Stuttgart,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Stiftung Polytechnische Gesellschaft, Frankfurt/Main,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Swedish Research Council, Stockholm, Schweden,</w:t>
      </w:r>
    </w:p>
    <w:p w:rsid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National Science Foundation, Washington, US</w:t>
      </w:r>
    </w:p>
    <w:p w:rsidR="00111F80" w:rsidRPr="00993EE4" w:rsidRDefault="00111F80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93EE4">
        <w:rPr>
          <w:rFonts w:ascii="Arial" w:hAnsi="Arial" w:cs="Arial"/>
          <w:b/>
          <w:bCs/>
          <w:color w:val="000000"/>
          <w:sz w:val="22"/>
          <w:szCs w:val="22"/>
        </w:rPr>
        <w:t>Wissenschaftspolitische Einrichtungen und Verbände (national und international)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Deutscher Hochschulverband, Bonn,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Europäische Kommission Brüssel, Belgien,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lang w:val="en-US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  <w:lang w:val="en-US"/>
        </w:rPr>
        <w:t>European Heads of Research Councils (diese Organisation heißt inzwischen Science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Europe), Brüssel, Belgien,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European Science Foundation Straßburg, Frankreich,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European University Association Brüssel, Belgien,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Gewerkschaft Erziehung und Wissenschaft, Frankfurt,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lang w:val="en-US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  <w:lang w:val="en-US"/>
        </w:rPr>
        <w:t>Irish Universities Association, Dublin, Irland,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</w:rPr>
        <w:t xml:space="preserve">- </w:t>
      </w:r>
      <w:r w:rsidRPr="00993EE4">
        <w:rPr>
          <w:rFonts w:ascii="Arial" w:hAnsi="Arial" w:cs="Arial"/>
          <w:color w:val="000000"/>
          <w:sz w:val="22"/>
          <w:szCs w:val="22"/>
        </w:rPr>
        <w:t>Kompetenzzentrum Frauen in Wissenschaft und Forschung (CEWS), Bonn,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League of European Research Universities, Leuven, Belgien,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Ministère de la Culture, de l'Enseignement Supérieur et de la Recherche, Luxembourg,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Landeskonferenz der Niedersächsischen Hochschulfrauenbeauftragten, Göttingen,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The National Academies of Sciences Engineering Medicine, Washington D.C., US,</w:t>
      </w:r>
    </w:p>
    <w:p w:rsidR="00993EE4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993EE4">
        <w:rPr>
          <w:rFonts w:ascii="Arial" w:hAnsi="Arial" w:cs="Arial"/>
          <w:color w:val="000000"/>
          <w:sz w:val="22"/>
          <w:szCs w:val="22"/>
          <w:lang w:val="en-US"/>
        </w:rPr>
        <w:t>- Organisation for Economic Cooperation and Development, Paris, Frankreich,</w:t>
      </w:r>
    </w:p>
    <w:p w:rsidR="00310725" w:rsidRPr="00993EE4" w:rsidRDefault="00993EE4" w:rsidP="00993EE4">
      <w:pPr>
        <w:autoSpaceDE w:val="0"/>
        <w:autoSpaceDN w:val="0"/>
        <w:adjustRightInd w:val="0"/>
        <w:rPr>
          <w:rFonts w:ascii="Arial" w:hAnsi="Arial" w:cs="Arial"/>
        </w:rPr>
      </w:pPr>
      <w:r w:rsidRPr="00993EE4">
        <w:rPr>
          <w:rFonts w:ascii="Arial" w:hAnsi="Arial" w:cs="Arial"/>
          <w:color w:val="000000"/>
          <w:sz w:val="22"/>
          <w:szCs w:val="22"/>
        </w:rPr>
        <w:t>- Zentrum Digitalisierung Bayern, Garching bei München</w:t>
      </w:r>
    </w:p>
    <w:sectPr w:rsidR="00310725" w:rsidRPr="00993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B1" w:rsidRDefault="006515B1">
      <w:r>
        <w:separator/>
      </w:r>
    </w:p>
  </w:endnote>
  <w:endnote w:type="continuationSeparator" w:id="0">
    <w:p w:rsidR="006515B1" w:rsidRDefault="0065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B1" w:rsidRDefault="006515B1">
      <w:r>
        <w:separator/>
      </w:r>
    </w:p>
  </w:footnote>
  <w:footnote w:type="continuationSeparator" w:id="0">
    <w:p w:rsidR="006515B1" w:rsidRDefault="0065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E43F6"/>
    <w:multiLevelType w:val="hybridMultilevel"/>
    <w:tmpl w:val="8B1AF208"/>
    <w:lvl w:ilvl="0" w:tplc="E9E4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E38"/>
    <w:rsid w:val="0010379A"/>
    <w:rsid w:val="00111F80"/>
    <w:rsid w:val="0012126E"/>
    <w:rsid w:val="001673BA"/>
    <w:rsid w:val="001737A7"/>
    <w:rsid w:val="002010B2"/>
    <w:rsid w:val="002844D1"/>
    <w:rsid w:val="0029655A"/>
    <w:rsid w:val="002A1799"/>
    <w:rsid w:val="002F6CE8"/>
    <w:rsid w:val="00310725"/>
    <w:rsid w:val="00312F1F"/>
    <w:rsid w:val="003332FB"/>
    <w:rsid w:val="00362E38"/>
    <w:rsid w:val="003C4732"/>
    <w:rsid w:val="003D35F6"/>
    <w:rsid w:val="003F79D9"/>
    <w:rsid w:val="00476436"/>
    <w:rsid w:val="00495763"/>
    <w:rsid w:val="004E500D"/>
    <w:rsid w:val="005F02A7"/>
    <w:rsid w:val="00600954"/>
    <w:rsid w:val="00613054"/>
    <w:rsid w:val="006515B1"/>
    <w:rsid w:val="006B69C7"/>
    <w:rsid w:val="006C7307"/>
    <w:rsid w:val="006D4E78"/>
    <w:rsid w:val="0070797B"/>
    <w:rsid w:val="007D608A"/>
    <w:rsid w:val="00800451"/>
    <w:rsid w:val="0085702B"/>
    <w:rsid w:val="008A235D"/>
    <w:rsid w:val="00930D4D"/>
    <w:rsid w:val="0093128F"/>
    <w:rsid w:val="0095778A"/>
    <w:rsid w:val="00993EE4"/>
    <w:rsid w:val="009F3B35"/>
    <w:rsid w:val="00A15077"/>
    <w:rsid w:val="00A35029"/>
    <w:rsid w:val="00A823E8"/>
    <w:rsid w:val="00A87FE0"/>
    <w:rsid w:val="00AA211C"/>
    <w:rsid w:val="00AC044D"/>
    <w:rsid w:val="00BB71A4"/>
    <w:rsid w:val="00BE6EA9"/>
    <w:rsid w:val="00C1384E"/>
    <w:rsid w:val="00C164D0"/>
    <w:rsid w:val="00C37182"/>
    <w:rsid w:val="00C4687E"/>
    <w:rsid w:val="00C8097F"/>
    <w:rsid w:val="00C93845"/>
    <w:rsid w:val="00D10BA6"/>
    <w:rsid w:val="00D30FE3"/>
    <w:rsid w:val="00D92A6F"/>
    <w:rsid w:val="00E53CF1"/>
    <w:rsid w:val="00F11BB3"/>
    <w:rsid w:val="00F6281E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091A3"/>
  <w15:chartTrackingRefBased/>
  <w15:docId w15:val="{54F3F91D-94A8-438E-85A0-362F5F5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E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2E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2E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>GB 3.7 IT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Ritter_Frauke</dc:creator>
  <cp:keywords/>
  <cp:lastModifiedBy>Ritter, Frauke</cp:lastModifiedBy>
  <cp:revision>2</cp:revision>
  <cp:lastPrinted>2017-04-03T11:22:00Z</cp:lastPrinted>
  <dcterms:created xsi:type="dcterms:W3CDTF">2023-04-17T09:48:00Z</dcterms:created>
  <dcterms:modified xsi:type="dcterms:W3CDTF">2023-04-17T09:48:00Z</dcterms:modified>
</cp:coreProperties>
</file>